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63061D" w:rsidRDefault="00C40CE9" w:rsidP="00D1753D">
      <w:pPr>
        <w:widowControl/>
        <w:autoSpaceDE/>
        <w:adjustRightInd/>
        <w:ind w:left="5670"/>
        <w:rPr>
          <w:rFonts w:eastAsia="Courier New"/>
          <w:b/>
          <w:bCs/>
          <w:sz w:val="24"/>
          <w:szCs w:val="24"/>
        </w:rPr>
      </w:pPr>
      <w:r w:rsidRPr="00C40CE9">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28632A">
                    <w:t>Финансы и кредит</w:t>
                  </w:r>
                  <w:r w:rsidRPr="008E6CE8">
                    <w:t xml:space="preserve">», утв. приказом ректора ОмГА </w:t>
                  </w:r>
                  <w:bookmarkStart w:id="0" w:name="_Hlk132615066"/>
                  <w:r w:rsidR="00B146D6" w:rsidRPr="00371907">
                    <w:t>27.03.2023 № 51</w:t>
                  </w:r>
                  <w:bookmarkEnd w:id="0"/>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C40CE9" w:rsidP="00C94464">
      <w:pPr>
        <w:autoSpaceDE/>
        <w:adjustRightInd/>
        <w:ind w:right="1"/>
        <w:contextualSpacing/>
        <w:jc w:val="center"/>
        <w:rPr>
          <w:rFonts w:eastAsia="Courier New"/>
          <w:noProof/>
          <w:sz w:val="28"/>
          <w:szCs w:val="28"/>
          <w:lang w:bidi="ru-RU"/>
        </w:rPr>
      </w:pPr>
      <w:r w:rsidRPr="00C40CE9">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r w:rsidR="00B146D6">
                    <w:rPr>
                      <w:sz w:val="24"/>
                      <w:szCs w:val="24"/>
                      <w:lang w:val="en-US"/>
                    </w:rPr>
                    <w:t>2</w:t>
                  </w:r>
                  <w:r w:rsidR="00B146D6">
                    <w:rPr>
                      <w:sz w:val="24"/>
                      <w:szCs w:val="24"/>
                    </w:rPr>
                    <w:t>7</w:t>
                  </w:r>
                  <w:r w:rsidRPr="00C94464">
                    <w:rPr>
                      <w:sz w:val="24"/>
                      <w:szCs w:val="24"/>
                    </w:rPr>
                    <w:t>.</w:t>
                  </w:r>
                  <w:r>
                    <w:rPr>
                      <w:sz w:val="24"/>
                      <w:szCs w:val="24"/>
                    </w:rPr>
                    <w:t>0</w:t>
                  </w:r>
                  <w:r w:rsidR="006C1EC6">
                    <w:rPr>
                      <w:sz w:val="24"/>
                      <w:szCs w:val="24"/>
                      <w:lang w:val="en-US"/>
                    </w:rPr>
                    <w:t>3</w:t>
                  </w:r>
                  <w:r w:rsidRPr="00C94464">
                    <w:rPr>
                      <w:sz w:val="24"/>
                      <w:szCs w:val="24"/>
                    </w:rPr>
                    <w:t>.20</w:t>
                  </w:r>
                  <w:r w:rsidR="00B146D6">
                    <w:rPr>
                      <w:sz w:val="24"/>
                      <w:szCs w:val="24"/>
                      <w:lang w:val="en-US"/>
                    </w:rPr>
                    <w:t>2</w:t>
                  </w:r>
                  <w:r w:rsidR="00B146D6">
                    <w:rPr>
                      <w:sz w:val="24"/>
                      <w:szCs w:val="24"/>
                    </w:rPr>
                    <w:t>3</w:t>
                  </w:r>
                  <w:r w:rsidRPr="00C94464">
                    <w:rPr>
                      <w:sz w:val="24"/>
                      <w:szCs w:val="24"/>
                    </w:rPr>
                    <w:t xml:space="preserve"> г.</w:t>
                  </w:r>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28632A">
        <w:rPr>
          <w:rFonts w:eastAsia="Courier New"/>
          <w:b/>
          <w:sz w:val="24"/>
          <w:szCs w:val="24"/>
          <w:lang w:bidi="ru-RU"/>
        </w:rPr>
        <w:t>Финансы и кредит</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B146D6" w:rsidRPr="00E72370" w:rsidRDefault="00B146D6" w:rsidP="00B146D6">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B146D6" w:rsidRPr="00371907" w:rsidRDefault="00B146D6" w:rsidP="00B146D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34C1A">
        <w:rPr>
          <w:rFonts w:eastAsia="SimSun"/>
          <w:kern w:val="2"/>
          <w:sz w:val="24"/>
          <w:szCs w:val="24"/>
          <w:lang w:eastAsia="hi-IN" w:bidi="hi-IN"/>
        </w:rPr>
        <w:t>2020/2021</w:t>
      </w:r>
      <w:r w:rsidR="00434C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A1A88" w:rsidRPr="00B146D6" w:rsidRDefault="002A1A88"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B146D6" w:rsidRDefault="002A1A88" w:rsidP="002A1A88">
      <w:pPr>
        <w:suppressAutoHyphens/>
        <w:contextualSpacing/>
        <w:rPr>
          <w:sz w:val="24"/>
          <w:szCs w:val="24"/>
        </w:rPr>
      </w:pPr>
      <w:r w:rsidRPr="0063061D">
        <w:rPr>
          <w:rFonts w:eastAsia="SimSun"/>
          <w:kern w:val="2"/>
          <w:sz w:val="24"/>
          <w:szCs w:val="24"/>
          <w:lang w:eastAsia="hi-IN" w:bidi="hi-IN"/>
        </w:rPr>
        <w:t xml:space="preserve">                                                               </w:t>
      </w:r>
      <w:r w:rsidR="006C1EC6">
        <w:rPr>
          <w:sz w:val="24"/>
          <w:szCs w:val="24"/>
        </w:rPr>
        <w:t>Омск 20</w:t>
      </w:r>
      <w:r w:rsidR="00B146D6">
        <w:rPr>
          <w:sz w:val="24"/>
          <w:szCs w:val="24"/>
        </w:rPr>
        <w:t>23</w:t>
      </w:r>
    </w:p>
    <w:p w:rsidR="002A1A88" w:rsidRPr="0063061D" w:rsidRDefault="007C277B" w:rsidP="002A1A88">
      <w:pPr>
        <w:spacing w:after="160" w:line="256" w:lineRule="auto"/>
        <w:rPr>
          <w:b/>
          <w:sz w:val="24"/>
          <w:szCs w:val="24"/>
        </w:rPr>
      </w:pPr>
      <w:r w:rsidRPr="0063061D">
        <w:rPr>
          <w:sz w:val="24"/>
          <w:szCs w:val="24"/>
        </w:rPr>
        <w:br w:type="page"/>
      </w:r>
    </w:p>
    <w:p w:rsidR="006C1EC6" w:rsidRPr="003410A4" w:rsidRDefault="006C1EC6" w:rsidP="006C1EC6">
      <w:pPr>
        <w:tabs>
          <w:tab w:val="left" w:pos="0"/>
          <w:tab w:val="left" w:pos="2495"/>
        </w:tabs>
        <w:spacing w:after="200"/>
        <w:rPr>
          <w:sz w:val="28"/>
          <w:szCs w:val="28"/>
        </w:rPr>
      </w:pPr>
      <w:r w:rsidRPr="003410A4">
        <w:rPr>
          <w:sz w:val="28"/>
          <w:szCs w:val="28"/>
        </w:rPr>
        <w:t>Составитель:</w:t>
      </w:r>
      <w:r>
        <w:rPr>
          <w:sz w:val="28"/>
          <w:szCs w:val="28"/>
        </w:rPr>
        <w:tab/>
      </w:r>
    </w:p>
    <w:p w:rsidR="006C1EC6" w:rsidRPr="003410A4" w:rsidRDefault="006C1EC6" w:rsidP="006C1EC6">
      <w:pPr>
        <w:tabs>
          <w:tab w:val="left" w:pos="0"/>
        </w:tabs>
        <w:spacing w:after="200"/>
        <w:rPr>
          <w:sz w:val="28"/>
          <w:szCs w:val="28"/>
        </w:rPr>
      </w:pPr>
      <w:r w:rsidRPr="003410A4">
        <w:rPr>
          <w:sz w:val="28"/>
          <w:szCs w:val="28"/>
        </w:rPr>
        <w:t xml:space="preserve">Доцент кафедры экономика и управление </w:t>
      </w:r>
    </w:p>
    <w:p w:rsidR="006C1EC6" w:rsidRPr="003410A4" w:rsidRDefault="006C1EC6" w:rsidP="006C1EC6">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6C1EC6" w:rsidRPr="003410A4" w:rsidRDefault="006C1EC6" w:rsidP="006C1EC6">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6C1EC6" w:rsidRPr="003410A4" w:rsidRDefault="006C1EC6" w:rsidP="006C1EC6">
      <w:pPr>
        <w:tabs>
          <w:tab w:val="left" w:pos="0"/>
          <w:tab w:val="left" w:pos="5446"/>
        </w:tabs>
        <w:spacing w:after="200"/>
        <w:rPr>
          <w:sz w:val="28"/>
          <w:szCs w:val="28"/>
        </w:rPr>
      </w:pPr>
      <w:r>
        <w:rPr>
          <w:sz w:val="28"/>
          <w:szCs w:val="28"/>
        </w:rPr>
        <w:t>П</w:t>
      </w:r>
      <w:r w:rsidR="00B146D6">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6C1EC6" w:rsidRPr="003410A4" w:rsidRDefault="006C1EC6" w:rsidP="006C1EC6">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B146D6">
        <w:rPr>
          <w:spacing w:val="-3"/>
          <w:sz w:val="28"/>
          <w:szCs w:val="28"/>
          <w:lang w:eastAsia="en-US"/>
        </w:rPr>
        <w:t>О.В Сергиенко</w:t>
      </w:r>
      <w:r w:rsidRPr="003410A4">
        <w:rPr>
          <w:sz w:val="28"/>
          <w:szCs w:val="28"/>
        </w:rPr>
        <w:t xml:space="preserve">/ </w:t>
      </w: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D02A21" w:rsidRDefault="00F60069" w:rsidP="00D02A21">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D02A21">
        <w:rPr>
          <w:bCs/>
          <w:sz w:val="24"/>
          <w:szCs w:val="24"/>
        </w:rPr>
        <w:t>30.11.2015 N 39906</w:t>
      </w:r>
      <w:r w:rsidRPr="00D02A21">
        <w:rPr>
          <w:sz w:val="24"/>
          <w:szCs w:val="24"/>
        </w:rPr>
        <w:t xml:space="preserve">) (далее - ФГОС ВО, Федеральный государственный образовательный стандарт высшего образования); </w:t>
      </w:r>
    </w:p>
    <w:p w:rsidR="00D02A21" w:rsidRPr="00D02A21" w:rsidRDefault="00D02A21" w:rsidP="00D02A21">
      <w:pPr>
        <w:ind w:firstLine="709"/>
        <w:jc w:val="both"/>
        <w:rPr>
          <w:sz w:val="24"/>
          <w:szCs w:val="24"/>
        </w:rPr>
      </w:pPr>
      <w:r w:rsidRPr="00D02A2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Рабочая программа дисциплины составлена в соответствии с локальными нормативными актами ЧУ ОО ВО «</w:t>
      </w:r>
      <w:r w:rsidRPr="00D02A21">
        <w:rPr>
          <w:b/>
          <w:sz w:val="24"/>
          <w:szCs w:val="24"/>
          <w:lang w:eastAsia="en-US"/>
        </w:rPr>
        <w:t>Омская гуманитарная академия</w:t>
      </w:r>
      <w:r w:rsidRPr="00D02A21">
        <w:rPr>
          <w:sz w:val="24"/>
          <w:szCs w:val="24"/>
          <w:lang w:eastAsia="en-US"/>
        </w:rPr>
        <w:t>» (</w:t>
      </w:r>
      <w:r w:rsidRPr="00D02A21">
        <w:rPr>
          <w:i/>
          <w:sz w:val="24"/>
          <w:szCs w:val="24"/>
          <w:lang w:eastAsia="en-US"/>
        </w:rPr>
        <w:t>далее – Академия; ОмГА</w:t>
      </w:r>
      <w:r w:rsidRPr="00D02A21">
        <w:rPr>
          <w:sz w:val="24"/>
          <w:szCs w:val="24"/>
          <w:lang w:eastAsia="en-US"/>
        </w:rPr>
        <w:t>):</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3061D">
        <w:rPr>
          <w:sz w:val="24"/>
          <w:szCs w:val="24"/>
        </w:rPr>
        <w:t xml:space="preserve">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28632A">
        <w:rPr>
          <w:sz w:val="24"/>
          <w:szCs w:val="24"/>
        </w:rPr>
        <w:t>Финансы и кредит</w:t>
      </w:r>
      <w:r w:rsidRPr="0063061D">
        <w:rPr>
          <w:sz w:val="24"/>
          <w:szCs w:val="24"/>
        </w:rPr>
        <w:t xml:space="preserve">»; </w:t>
      </w:r>
      <w:r w:rsidRPr="0063061D">
        <w:rPr>
          <w:sz w:val="24"/>
          <w:szCs w:val="24"/>
          <w:lang w:eastAsia="en-US"/>
        </w:rPr>
        <w:t xml:space="preserve">форма обучения – очная) </w:t>
      </w:r>
      <w:r w:rsidR="004B4297" w:rsidRPr="0063061D">
        <w:rPr>
          <w:sz w:val="24"/>
          <w:szCs w:val="24"/>
          <w:lang w:eastAsia="en-US"/>
        </w:rPr>
        <w:t xml:space="preserve">на </w:t>
      </w:r>
      <w:bookmarkStart w:id="1" w:name="_Hlk132615181"/>
      <w:r w:rsidR="00B146D6" w:rsidRPr="00371907">
        <w:rPr>
          <w:sz w:val="24"/>
          <w:szCs w:val="24"/>
        </w:rPr>
        <w:t>2023/2024 учебный год, утвержденным приказом ректора от 27.03.2023 № 51</w:t>
      </w:r>
      <w:bookmarkEnd w:id="1"/>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28632A">
        <w:rPr>
          <w:sz w:val="24"/>
          <w:szCs w:val="24"/>
        </w:rPr>
        <w:t xml:space="preserve">Финансы и </w:t>
      </w:r>
      <w:r w:rsidR="0028632A">
        <w:rPr>
          <w:sz w:val="24"/>
          <w:szCs w:val="24"/>
        </w:rPr>
        <w:lastRenderedPageBreak/>
        <w:t>кредит</w:t>
      </w:r>
      <w:r w:rsidRPr="0063061D">
        <w:rPr>
          <w:sz w:val="24"/>
          <w:szCs w:val="24"/>
        </w:rPr>
        <w:t xml:space="preserve">»; форма обучения – заочная на </w:t>
      </w:r>
      <w:r w:rsidR="00B146D6" w:rsidRPr="00371907">
        <w:rPr>
          <w:sz w:val="24"/>
          <w:szCs w:val="24"/>
        </w:rPr>
        <w:t>2023/2024 учебный год, утвержденным приказом ректора от 27.03.2023 № 51</w:t>
      </w:r>
      <w:r w:rsidRPr="0063061D">
        <w:rPr>
          <w:sz w:val="24"/>
          <w:szCs w:val="24"/>
          <w:lang w:eastAsia="en-US"/>
        </w:rPr>
        <w:t>.</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B146D6">
        <w:rPr>
          <w:b/>
          <w:sz w:val="24"/>
          <w:szCs w:val="24"/>
        </w:rPr>
        <w:t>23</w:t>
      </w:r>
      <w:r w:rsidRPr="0063061D">
        <w:rPr>
          <w:b/>
          <w:sz w:val="24"/>
          <w:szCs w:val="24"/>
        </w:rPr>
        <w:t>/20</w:t>
      </w:r>
      <w:r w:rsidR="00B146D6">
        <w:rPr>
          <w:b/>
          <w:sz w:val="24"/>
          <w:szCs w:val="24"/>
        </w:rPr>
        <w:t>24</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28632A">
        <w:rPr>
          <w:b/>
          <w:sz w:val="24"/>
          <w:szCs w:val="24"/>
        </w:rPr>
        <w:t>Финансы и кредит</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B146D6">
        <w:rPr>
          <w:sz w:val="24"/>
          <w:szCs w:val="24"/>
        </w:rPr>
        <w:t>23</w:t>
      </w:r>
      <w:r w:rsidRPr="0063061D">
        <w:rPr>
          <w:sz w:val="24"/>
          <w:szCs w:val="24"/>
        </w:rPr>
        <w:t>/20</w:t>
      </w:r>
      <w:r w:rsidR="00B146D6">
        <w:rPr>
          <w:sz w:val="24"/>
          <w:szCs w:val="24"/>
        </w:rPr>
        <w:t>24</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rPr>
            </w:pPr>
            <w:r w:rsidRPr="0063061D">
              <w:rPr>
                <w:bCs/>
                <w:sz w:val="24"/>
                <w:szCs w:val="24"/>
              </w:rPr>
              <w:t>предмет и метод макроэкономического анализа</w:t>
            </w:r>
            <w:r w:rsidR="007B6726" w:rsidRPr="0063061D">
              <w:rPr>
                <w:bCs/>
                <w:sz w:val="24"/>
                <w:szCs w:val="24"/>
              </w:rPr>
              <w:t xml:space="preserve">, </w:t>
            </w:r>
            <w:r w:rsidRPr="0063061D">
              <w:rPr>
                <w:bCs/>
                <w:sz w:val="24"/>
                <w:szCs w:val="24"/>
              </w:rPr>
              <w:t>систему национальных счетов</w:t>
            </w:r>
            <w:r w:rsidR="007B6726" w:rsidRPr="0063061D">
              <w:rPr>
                <w:bCs/>
                <w:sz w:val="24"/>
                <w:szCs w:val="24"/>
              </w:rPr>
              <w:t xml:space="preserve">, </w:t>
            </w:r>
            <w:r w:rsidRPr="0063061D">
              <w:rPr>
                <w:bCs/>
                <w:sz w:val="24"/>
                <w:szCs w:val="24"/>
              </w:rPr>
              <w:t>совокупный спрос и совокупное предложение</w:t>
            </w:r>
            <w:r w:rsidR="007B6726" w:rsidRPr="0063061D">
              <w:rPr>
                <w:bCs/>
                <w:sz w:val="24"/>
                <w:szCs w:val="24"/>
              </w:rPr>
              <w:t xml:space="preserve">, </w:t>
            </w:r>
            <w:r w:rsidRPr="0063061D">
              <w:rPr>
                <w:bCs/>
                <w:sz w:val="24"/>
                <w:szCs w:val="24"/>
              </w:rPr>
              <w:t>теорию циклов</w:t>
            </w:r>
            <w:r w:rsidR="007B6726" w:rsidRPr="0063061D">
              <w:rPr>
                <w:bCs/>
                <w:sz w:val="24"/>
                <w:szCs w:val="24"/>
              </w:rPr>
              <w:t xml:space="preserve">, </w:t>
            </w:r>
            <w:r w:rsidRPr="0063061D">
              <w:rPr>
                <w:bCs/>
                <w:sz w:val="24"/>
                <w:szCs w:val="24"/>
              </w:rPr>
              <w:t xml:space="preserve"> распределения доходов</w:t>
            </w:r>
            <w:r w:rsidR="007B6726" w:rsidRPr="0063061D">
              <w:rPr>
                <w:bCs/>
                <w:sz w:val="24"/>
                <w:szCs w:val="24"/>
              </w:rPr>
              <w:t xml:space="preserve">, </w:t>
            </w:r>
            <w:r w:rsidRPr="0063061D">
              <w:rPr>
                <w:bCs/>
                <w:sz w:val="24"/>
                <w:szCs w:val="24"/>
              </w:rPr>
              <w:t>инфляции</w:t>
            </w:r>
            <w:r w:rsidR="007B6726" w:rsidRPr="0063061D">
              <w:rPr>
                <w:bCs/>
                <w:sz w:val="24"/>
                <w:szCs w:val="24"/>
              </w:rPr>
              <w:t xml:space="preserve">, </w:t>
            </w:r>
            <w:r w:rsidRPr="0063061D">
              <w:rPr>
                <w:bCs/>
                <w:sz w:val="24"/>
                <w:szCs w:val="24"/>
              </w:rPr>
              <w:t>экономического роста</w:t>
            </w:r>
            <w:r w:rsidR="00F60069" w:rsidRPr="0063061D">
              <w:rPr>
                <w:bCs/>
                <w:sz w:val="24"/>
                <w:szCs w:val="24"/>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r w:rsidR="00F60069" w:rsidRPr="0063061D">
              <w:rPr>
                <w:bCs/>
                <w:sz w:val="24"/>
                <w:szCs w:val="24"/>
              </w:rPr>
              <w:t>;</w:t>
            </w:r>
          </w:p>
          <w:p w:rsidR="007B6726" w:rsidRPr="0063061D" w:rsidRDefault="007B6726" w:rsidP="00F60069">
            <w:pPr>
              <w:pStyle w:val="30"/>
              <w:numPr>
                <w:ilvl w:val="0"/>
                <w:numId w:val="9"/>
              </w:numPr>
              <w:tabs>
                <w:tab w:val="left" w:pos="175"/>
              </w:tabs>
              <w:spacing w:after="0"/>
              <w:ind w:left="0" w:firstLine="0"/>
              <w:jc w:val="both"/>
              <w:rPr>
                <w:bCs/>
                <w:sz w:val="24"/>
                <w:szCs w:val="24"/>
              </w:rPr>
            </w:pPr>
            <w:r w:rsidRPr="0063061D">
              <w:rPr>
                <w:sz w:val="24"/>
                <w:szCs w:val="24"/>
              </w:rPr>
              <w:t>использовать основы экономических знаний в различных сферах деятельности</w:t>
            </w:r>
            <w:r w:rsidR="00F60069" w:rsidRPr="0063061D">
              <w:rPr>
                <w:sz w:val="24"/>
                <w:szCs w:val="24"/>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 xml:space="preserve">навыками математического анализа </w:t>
            </w:r>
            <w:r w:rsidRPr="0063061D">
              <w:rPr>
                <w:bCs/>
                <w:sz w:val="24"/>
                <w:szCs w:val="24"/>
              </w:rPr>
              <w:lastRenderedPageBreak/>
              <w:t>сложных экономических процессов</w:t>
            </w:r>
            <w:r w:rsidR="00F60069" w:rsidRPr="0063061D">
              <w:rPr>
                <w:bCs/>
                <w:sz w:val="24"/>
                <w:szCs w:val="24"/>
              </w:rPr>
              <w:t>;</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r w:rsidR="00F60069" w:rsidRPr="0063061D">
              <w:rPr>
                <w:bCs/>
                <w:sz w:val="24"/>
                <w:szCs w:val="24"/>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eastAsia="en-US"/>
              </w:rPr>
            </w:pPr>
            <w:r w:rsidRPr="0063061D">
              <w:rPr>
                <w:bCs/>
                <w:sz w:val="24"/>
                <w:szCs w:val="24"/>
              </w:rPr>
              <w:t>необходимой информацией  по  оценке состояния и решения экономических проблем</w:t>
            </w:r>
            <w:r w:rsidR="00F60069" w:rsidRPr="0063061D">
              <w:rPr>
                <w:bCs/>
                <w:sz w:val="24"/>
                <w:szCs w:val="24"/>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rPr>
            </w:pPr>
            <w:r w:rsidRPr="0063061D">
              <w:rPr>
                <w:bCs/>
                <w:sz w:val="24"/>
                <w:szCs w:val="24"/>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sz w:val="24"/>
                <w:szCs w:val="24"/>
              </w:rPr>
              <w:t>использовать 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9E595E" w:rsidRPr="0063061D">
              <w:rPr>
                <w:rFonts w:ascii="Times New Roman" w:hAnsi="Times New Roman"/>
                <w:b w:val="0"/>
                <w:i w:val="0"/>
                <w:sz w:val="24"/>
                <w:szCs w:val="24"/>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w:t>
            </w:r>
            <w:r w:rsidRPr="0063061D">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lastRenderedPageBreak/>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5554FC" w:rsidRPr="0063061D">
              <w:rPr>
                <w:rFonts w:ascii="Times New Roman" w:hAnsi="Times New Roman"/>
                <w:b w:val="0"/>
                <w:i w:val="0"/>
                <w:sz w:val="24"/>
                <w:szCs w:val="24"/>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lastRenderedPageBreak/>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lastRenderedPageBreak/>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8. Денежный рынок. Общее равновесие на 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lastRenderedPageBreak/>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 xml:space="preserve">Макроэкономическое равновесие в модели (AD-AS). Изменения в равновесии. Специфические последствия сокращения совокупного спроса. Изменение совокупного </w:t>
      </w:r>
      <w:r w:rsidRPr="0063061D">
        <w:rPr>
          <w:sz w:val="24"/>
          <w:szCs w:val="24"/>
        </w:rPr>
        <w:lastRenderedPageBreak/>
        <w:t>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 xml:space="preserve">Спрос на деньги. Спрос на деньги для сделок (трансакционный спрос). Факторы, определяющие денежный спрос для сделок. Спрос на деньги со стороны активов </w:t>
      </w:r>
      <w:r w:rsidRPr="0063061D">
        <w:rPr>
          <w:sz w:val="24"/>
          <w:szCs w:val="24"/>
        </w:rPr>
        <w:lastRenderedPageBreak/>
        <w:t>(спекулятивный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 xml:space="preserve">Классическая дихотомия. Сущность инфляции. Виды инфляции: по темпам роста </w:t>
      </w:r>
      <w:r w:rsidRPr="0063061D">
        <w:rPr>
          <w:sz w:val="24"/>
          <w:szCs w:val="24"/>
        </w:rPr>
        <w:lastRenderedPageBreak/>
        <w:t>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 xml:space="preserve">Торговая политика. Природа свободной торговли и протекционизма. Тарифные и </w:t>
      </w:r>
      <w:r w:rsidRPr="0063061D">
        <w:rPr>
          <w:sz w:val="24"/>
          <w:szCs w:val="24"/>
        </w:rPr>
        <w:lastRenderedPageBreak/>
        <w:t>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9B50D9">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w:t>
      </w:r>
      <w:r w:rsidRPr="0063061D">
        <w:rPr>
          <w:sz w:val="24"/>
          <w:szCs w:val="24"/>
        </w:rPr>
        <w:lastRenderedPageBreak/>
        <w:t xml:space="preserve">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9B50D9">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9B50D9">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 xml:space="preserve">Макроэкономика» 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2014.— 208 c.— Режим доступа: </w:t>
      </w:r>
      <w:hyperlink r:id="rId11" w:history="1">
        <w:r w:rsidR="009B50D9">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9B50D9">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9B50D9">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9B50D9">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9B50D9">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9B50D9">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9B50D9">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9B50D9">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38288C">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9B50D9">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9B50D9">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9B50D9">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B50D9">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9B50D9">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9B50D9">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B50D9">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lastRenderedPageBreak/>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3061D">
        <w:rPr>
          <w:sz w:val="24"/>
          <w:szCs w:val="24"/>
        </w:rPr>
        <w:lastRenderedPageBreak/>
        <w:t>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3061D">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9B50D9">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9B50D9">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9B50D9">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9B50D9">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9B50D9">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anchor="open-accesshttps://www.sciencedirect.com/" w:history="1">
        <w:r w:rsidR="009B50D9">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9B50D9">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9B50D9">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9B50D9">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88C">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38288C">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88C">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E5" w:rsidRDefault="00AC72E5" w:rsidP="00160BC1">
      <w:r>
        <w:separator/>
      </w:r>
    </w:p>
  </w:endnote>
  <w:endnote w:type="continuationSeparator" w:id="1">
    <w:p w:rsidR="00AC72E5" w:rsidRDefault="00AC72E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E5" w:rsidRDefault="00AC72E5" w:rsidP="00160BC1">
      <w:r>
        <w:separator/>
      </w:r>
    </w:p>
  </w:footnote>
  <w:footnote w:type="continuationSeparator" w:id="1">
    <w:p w:rsidR="00AC72E5" w:rsidRDefault="00AC72E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8632A"/>
    <w:rsid w:val="00291D05"/>
    <w:rsid w:val="002933E5"/>
    <w:rsid w:val="002935D2"/>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8288C"/>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4C1A"/>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1EC6"/>
    <w:rsid w:val="006C3C93"/>
    <w:rsid w:val="006D108C"/>
    <w:rsid w:val="006D15B6"/>
    <w:rsid w:val="006D266C"/>
    <w:rsid w:val="006D5877"/>
    <w:rsid w:val="006D6805"/>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1B01"/>
    <w:rsid w:val="007B2F12"/>
    <w:rsid w:val="007B6726"/>
    <w:rsid w:val="007B7189"/>
    <w:rsid w:val="007C277B"/>
    <w:rsid w:val="007D5CC1"/>
    <w:rsid w:val="007E10C6"/>
    <w:rsid w:val="007E583B"/>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B50D9"/>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2A29"/>
    <w:rsid w:val="00AB2091"/>
    <w:rsid w:val="00AB281A"/>
    <w:rsid w:val="00AC0DCA"/>
    <w:rsid w:val="00AC72E5"/>
    <w:rsid w:val="00AD0669"/>
    <w:rsid w:val="00AD208A"/>
    <w:rsid w:val="00AD4A3C"/>
    <w:rsid w:val="00AE13D0"/>
    <w:rsid w:val="00AE3177"/>
    <w:rsid w:val="00AE39C7"/>
    <w:rsid w:val="00AF2DDD"/>
    <w:rsid w:val="00AF61EB"/>
    <w:rsid w:val="00B14050"/>
    <w:rsid w:val="00B146D6"/>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0CE9"/>
    <w:rsid w:val="00C42BBB"/>
    <w:rsid w:val="00C45854"/>
    <w:rsid w:val="00C51C3D"/>
    <w:rsid w:val="00C55E91"/>
    <w:rsid w:val="00C70CA1"/>
    <w:rsid w:val="00C83771"/>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1"/>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0AC0"/>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B32ED"/>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F30E25"/>
    <w:rPr>
      <w:color w:val="800080"/>
      <w:u w:val="single"/>
    </w:rPr>
  </w:style>
  <w:style w:type="character" w:customStyle="1" w:styleId="UnresolvedMention">
    <w:name w:val="Unresolved Mention"/>
    <w:basedOn w:val="a0"/>
    <w:uiPriority w:val="99"/>
    <w:semiHidden/>
    <w:unhideWhenUsed/>
    <w:rsid w:val="003828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22.." TargetMode="External"/><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A8B4-C939-4F62-8390-FB493B50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9007</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60233</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2019-02-27T03:45:00Z</cp:lastPrinted>
  <dcterms:created xsi:type="dcterms:W3CDTF">2022-07-01T16:16:00Z</dcterms:created>
  <dcterms:modified xsi:type="dcterms:W3CDTF">2023-06-06T06:02:00Z</dcterms:modified>
</cp:coreProperties>
</file>